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附件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：</w:t>
      </w:r>
    </w:p>
    <w:p>
      <w:pPr>
        <w:jc w:val="center"/>
        <w:rPr>
          <w:rFonts w:hint="eastAsia" w:ascii="宋体" w:hAnsi="Times New Roman" w:eastAsia="宋体" w:cs="Times New Roman"/>
          <w:b/>
          <w:sz w:val="44"/>
          <w:szCs w:val="20"/>
          <w:lang w:val="en-US" w:eastAsia="zh-CN"/>
        </w:rPr>
      </w:pPr>
    </w:p>
    <w:p>
      <w:pPr>
        <w:jc w:val="center"/>
        <w:rPr>
          <w:rFonts w:hint="eastAsia" w:ascii="宋体" w:hAnsi="Times New Roman" w:eastAsia="宋体" w:cs="Times New Roman"/>
          <w:b/>
          <w:sz w:val="44"/>
          <w:szCs w:val="20"/>
        </w:rPr>
      </w:pPr>
      <w:r>
        <w:rPr>
          <w:rFonts w:hint="eastAsia" w:ascii="宋体" w:hAnsi="Times New Roman" w:eastAsia="宋体" w:cs="Times New Roman"/>
          <w:b/>
          <w:sz w:val="44"/>
          <w:szCs w:val="20"/>
          <w:lang w:val="en-US" w:eastAsia="zh-CN"/>
        </w:rPr>
        <w:t>小区拆违“五环”工作法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</w:pP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一是摸清底数，分类建档。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全面排摸违建点位信息，做到“六清”，即违法事实清、土地属性清、违建面积清、个人信息清、社会关系清、承租关系清，对重点对象建立“一户一档”。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二是宣传造势，引导自改。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以拉横幅、贴海报等形式，向居民群众宣传整治政策、目标。在约谈违建居民时，多一声招呼、拉一阵家常、讲一下政策，使当事人通过“了解”实现“理解”，引导违建居民签订“主动拆违承诺书”。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三是党建引领，居民自治。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发挥党组织的引领作用，发动楼组长、党员骨干、居委会、物业、业委会等力量参与，使群众成为拆违的主体力量，依靠居民自治、柔性管理，解决拆违难题。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四是把握节奏，分类推进。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把握好区域节奏，将主干道、公共部位成片违建作为首拆对象，带动零星违建拆除。把握好类别节奏，优先拆除“公字头”、经营性等重点类型违建，实现“重点突破，全面推进”。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五是依法整治，从实救助。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执法有力度、更有温度，拆除违建做到统一标准、一视同仁、不留盲区，整合公安、城管、市场、市容、房办、居委、物业、业委会、楼组长、居民志愿者等力量，强势推进整治。同时统筹考虑困难群众的救助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，真心诚意帮助确实有困难的群众解决实际困难。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198"/>
    <w:multiLevelType w:val="multilevel"/>
    <w:tmpl w:val="0CFC4198"/>
    <w:lvl w:ilvl="0" w:tentative="0">
      <w:start w:val="1"/>
      <w:numFmt w:val="japaneseCounting"/>
      <w:pStyle w:val="6"/>
      <w:lvlText w:val="%1、"/>
      <w:lvlJc w:val="left"/>
      <w:pPr>
        <w:ind w:left="1287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9"/>
    <w:rsid w:val="005E136B"/>
    <w:rsid w:val="00A35109"/>
    <w:rsid w:val="00AD433D"/>
    <w:rsid w:val="00B12362"/>
    <w:rsid w:val="146467B2"/>
    <w:rsid w:val="1A112EE7"/>
    <w:rsid w:val="45834F86"/>
    <w:rsid w:val="53FD0924"/>
    <w:rsid w:val="5F4F25DD"/>
    <w:rsid w:val="662B5ADF"/>
    <w:rsid w:val="70C93799"/>
    <w:rsid w:val="7D0D65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21"/>
    <w:basedOn w:val="1"/>
    <w:qFormat/>
    <w:uiPriority w:val="34"/>
    <w:pPr>
      <w:numPr>
        <w:ilvl w:val="0"/>
        <w:numId w:val="1"/>
      </w:numPr>
      <w:jc w:val="left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taoying</dc:creator>
  <cp:lastModifiedBy>普陀区人民政府专用版</cp:lastModifiedBy>
  <cp:lastPrinted>2017-12-14T01:32:56Z</cp:lastPrinted>
  <dcterms:modified xsi:type="dcterms:W3CDTF">2017-12-14T01:32:59Z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