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_GB2312" w:hAnsi="Times New Roman" w:eastAsia="仿宋_GB2312" w:cs="Times New Roman"/>
          <w:spacing w:val="-6"/>
          <w:sz w:val="32"/>
          <w:szCs w:val="20"/>
        </w:rPr>
      </w:pPr>
      <w:r>
        <w:rPr>
          <w:rFonts w:hint="eastAsia" w:ascii="仿宋_GB2312" w:hAnsi="Times New Roman" w:eastAsia="仿宋_GB2312" w:cs="Times New Roman"/>
          <w:spacing w:val="-6"/>
          <w:sz w:val="32"/>
          <w:szCs w:val="20"/>
        </w:rPr>
        <w:t>附件1：</w:t>
      </w:r>
    </w:p>
    <w:p>
      <w:pPr>
        <w:jc w:val="center"/>
        <w:rPr>
          <w:rFonts w:hint="eastAsia" w:ascii="宋体" w:hAnsi="Times New Roman" w:eastAsia="宋体" w:cs="Times New Roman"/>
          <w:b/>
          <w:sz w:val="44"/>
          <w:szCs w:val="20"/>
          <w:lang w:val="en-US" w:eastAsia="zh-CN"/>
        </w:rPr>
      </w:pPr>
    </w:p>
    <w:p>
      <w:pPr>
        <w:jc w:val="center"/>
        <w:rPr>
          <w:rFonts w:hint="eastAsia" w:ascii="宋体" w:hAnsi="Times New Roman" w:eastAsia="宋体" w:cs="Times New Roman"/>
          <w:b/>
          <w:sz w:val="44"/>
          <w:szCs w:val="20"/>
        </w:rPr>
      </w:pPr>
      <w:r>
        <w:rPr>
          <w:rFonts w:hint="eastAsia" w:ascii="宋体" w:hAnsi="Times New Roman" w:eastAsia="宋体" w:cs="Times New Roman"/>
          <w:b/>
          <w:sz w:val="44"/>
          <w:szCs w:val="20"/>
          <w:lang w:val="en-US" w:eastAsia="zh-CN"/>
        </w:rPr>
        <w:t>无违建居村（街镇）创建标准</w:t>
      </w:r>
    </w:p>
    <w:p>
      <w:pPr>
        <w:spacing w:line="540" w:lineRule="exact"/>
        <w:ind w:firstLine="619" w:firstLineChars="200"/>
        <w:rPr>
          <w:rFonts w:hint="eastAsia" w:ascii="仿宋_GB2312" w:hAnsi="Times New Roman" w:eastAsia="仿宋_GB2312" w:cs="Times New Roman"/>
          <w:b/>
          <w:bCs/>
          <w:spacing w:val="-6"/>
          <w:sz w:val="32"/>
          <w:szCs w:val="20"/>
          <w:lang w:val="en-US" w:eastAsia="zh-CN"/>
        </w:rPr>
      </w:pPr>
    </w:p>
    <w:p>
      <w:pPr>
        <w:spacing w:line="540" w:lineRule="exact"/>
        <w:ind w:firstLine="619" w:firstLineChars="200"/>
        <w:rPr>
          <w:rFonts w:hint="eastAsia" w:ascii="仿宋_GB2312" w:hAnsi="Times New Roman" w:eastAsia="仿宋_GB2312" w:cs="Times New Roman"/>
          <w:spacing w:val="-6"/>
          <w:sz w:val="32"/>
          <w:szCs w:val="20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b/>
          <w:bCs/>
          <w:spacing w:val="-6"/>
          <w:sz w:val="32"/>
          <w:szCs w:val="20"/>
          <w:lang w:val="en-US" w:eastAsia="zh-CN"/>
        </w:rPr>
        <w:t>1、坚持“公字头”违建带头拆除：</w:t>
      </w:r>
      <w:r>
        <w:rPr>
          <w:rFonts w:hint="eastAsia" w:ascii="仿宋_GB2312" w:hAnsi="Times New Roman" w:eastAsia="仿宋_GB2312" w:cs="Times New Roman"/>
          <w:spacing w:val="-6"/>
          <w:sz w:val="32"/>
          <w:szCs w:val="20"/>
          <w:lang w:val="en-US" w:eastAsia="zh-CN"/>
        </w:rPr>
        <w:t>除用于公共服务且暂无替代场所的违建外，街道及国资所属违建应带头拆除，</w:t>
      </w:r>
      <w:r>
        <w:rPr>
          <w:rFonts w:hint="eastAsia" w:ascii="仿宋_GB2312" w:hAnsi="Times New Roman" w:eastAsia="仿宋_GB2312" w:cs="Times New Roman"/>
          <w:spacing w:val="-6"/>
          <w:sz w:val="32"/>
          <w:szCs w:val="20"/>
          <w:lang w:eastAsia="zh-CN"/>
        </w:rPr>
        <w:t>体制机制健全，社会动员广泛，档案资料完备，工作扎实有力。</w:t>
      </w:r>
    </w:p>
    <w:p>
      <w:pPr>
        <w:spacing w:line="540" w:lineRule="exact"/>
        <w:ind w:firstLine="619" w:firstLineChars="200"/>
        <w:rPr>
          <w:rFonts w:hint="eastAsia" w:ascii="仿宋_GB2312" w:hAnsi="Times New Roman" w:eastAsia="仿宋_GB2312" w:cs="Times New Roman"/>
          <w:spacing w:val="-6"/>
          <w:sz w:val="32"/>
          <w:szCs w:val="20"/>
        </w:rPr>
      </w:pPr>
      <w:r>
        <w:rPr>
          <w:rFonts w:hint="eastAsia" w:ascii="仿宋_GB2312" w:hAnsi="Times New Roman" w:eastAsia="仿宋_GB2312" w:cs="Times New Roman"/>
          <w:b/>
          <w:bCs/>
          <w:spacing w:val="-6"/>
          <w:sz w:val="32"/>
          <w:szCs w:val="20"/>
          <w:lang w:val="en-US" w:eastAsia="zh-CN"/>
        </w:rPr>
        <w:t>2、坚持新增违建“零容忍”：</w:t>
      </w:r>
      <w:r>
        <w:rPr>
          <w:rFonts w:hint="eastAsia" w:ascii="仿宋_GB2312" w:hAnsi="Times New Roman" w:eastAsia="仿宋_GB2312" w:cs="Times New Roman"/>
          <w:spacing w:val="-6"/>
          <w:sz w:val="32"/>
          <w:szCs w:val="20"/>
          <w:lang w:eastAsia="zh-CN"/>
        </w:rPr>
        <w:t>无新增违法建筑，违法建筑巡查发现机制健全，能及时发现、及时制止、快速拆除、从严处罚新建违法建筑。</w:t>
      </w:r>
    </w:p>
    <w:p>
      <w:pPr>
        <w:spacing w:line="540" w:lineRule="exact"/>
        <w:ind w:firstLine="619" w:firstLineChars="200"/>
        <w:rPr>
          <w:rFonts w:hint="eastAsia" w:ascii="仿宋_GB2312" w:hAnsi="Times New Roman" w:eastAsia="仿宋_GB2312" w:cs="Times New Roman"/>
          <w:spacing w:val="-6"/>
          <w:sz w:val="32"/>
          <w:szCs w:val="20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pacing w:val="-6"/>
          <w:sz w:val="32"/>
          <w:szCs w:val="20"/>
          <w:lang w:val="en-US" w:eastAsia="zh-CN"/>
        </w:rPr>
        <w:t>3、坚持存量违建“六必拆”：</w:t>
      </w:r>
      <w:r>
        <w:rPr>
          <w:rFonts w:hint="eastAsia" w:ascii="仿宋_GB2312" w:hAnsi="Times New Roman" w:eastAsia="仿宋_GB2312" w:cs="Times New Roman"/>
          <w:spacing w:val="-6"/>
          <w:sz w:val="32"/>
          <w:szCs w:val="20"/>
          <w:lang w:eastAsia="zh-CN"/>
        </w:rPr>
        <w:t>消除重点类型存量违法建筑。</w:t>
      </w:r>
    </w:p>
    <w:p>
      <w:pPr>
        <w:spacing w:line="540" w:lineRule="exact"/>
        <w:ind w:firstLine="616" w:firstLineChars="200"/>
        <w:rPr>
          <w:rFonts w:hint="eastAsia" w:ascii="仿宋_GB2312" w:hAnsi="Times New Roman" w:eastAsia="仿宋_GB2312" w:cs="Times New Roman"/>
          <w:spacing w:val="-6"/>
          <w:sz w:val="32"/>
          <w:szCs w:val="20"/>
          <w:lang w:val="en-US" w:eastAsia="zh-CN"/>
        </w:rPr>
      </w:pPr>
      <w:r>
        <w:rPr>
          <w:rFonts w:hint="eastAsia" w:ascii="仿宋_GB2312" w:hAnsi="Times New Roman" w:eastAsia="仿宋_GB2312" w:cs="Times New Roman"/>
          <w:spacing w:val="-6"/>
          <w:sz w:val="32"/>
          <w:szCs w:val="20"/>
          <w:lang w:val="en-US" w:eastAsia="zh-CN"/>
        </w:rPr>
        <w:t>一是涉及“五违”问题的违法建筑：在违法用地上搭建的、存在违法经营的、存在违法排污的、存在违法居住的；</w:t>
      </w:r>
    </w:p>
    <w:p>
      <w:pPr>
        <w:spacing w:line="540" w:lineRule="exact"/>
        <w:ind w:firstLine="616" w:firstLineChars="200"/>
        <w:rPr>
          <w:rFonts w:hint="eastAsia" w:ascii="仿宋_GB2312" w:hAnsi="Times New Roman" w:eastAsia="仿宋_GB2312" w:cs="Times New Roman"/>
          <w:spacing w:val="-6"/>
          <w:sz w:val="32"/>
          <w:szCs w:val="20"/>
          <w:lang w:val="en-US" w:eastAsia="zh-CN"/>
        </w:rPr>
      </w:pPr>
      <w:r>
        <w:rPr>
          <w:rFonts w:hint="eastAsia" w:ascii="仿宋_GB2312" w:hAnsi="Times New Roman" w:eastAsia="仿宋_GB2312" w:cs="Times New Roman"/>
          <w:spacing w:val="-6"/>
          <w:sz w:val="32"/>
          <w:szCs w:val="20"/>
          <w:lang w:val="en-US" w:eastAsia="zh-CN"/>
        </w:rPr>
        <w:t>二是影响城市安全的违法建筑，存在安全隐患的，高压线、高铁线路、高架道路以及燃气、原水、输油等管线保护区内的；</w:t>
      </w:r>
    </w:p>
    <w:p>
      <w:pPr>
        <w:spacing w:line="540" w:lineRule="exact"/>
        <w:ind w:firstLine="616" w:firstLineChars="200"/>
        <w:rPr>
          <w:rFonts w:hint="eastAsia" w:ascii="仿宋_GB2312" w:hAnsi="Times New Roman" w:eastAsia="仿宋_GB2312" w:cs="Times New Roman"/>
          <w:spacing w:val="-6"/>
          <w:sz w:val="32"/>
          <w:szCs w:val="20"/>
          <w:lang w:val="en-US" w:eastAsia="zh-CN"/>
        </w:rPr>
      </w:pPr>
      <w:r>
        <w:rPr>
          <w:rFonts w:hint="eastAsia" w:ascii="仿宋_GB2312" w:hAnsi="Times New Roman" w:eastAsia="仿宋_GB2312" w:cs="Times New Roman"/>
          <w:spacing w:val="-6"/>
          <w:sz w:val="32"/>
          <w:szCs w:val="20"/>
          <w:lang w:val="en-US" w:eastAsia="zh-CN"/>
        </w:rPr>
        <w:t>三是侵占公共空间的违法建筑：侵占道路、河道、消防通道、公共绿地的，在商务、商业楼顶搭建的；</w:t>
      </w:r>
    </w:p>
    <w:p>
      <w:pPr>
        <w:spacing w:line="540" w:lineRule="exact"/>
        <w:ind w:firstLine="616" w:firstLineChars="200"/>
        <w:rPr>
          <w:rFonts w:hint="eastAsia" w:ascii="仿宋_GB2312" w:hAnsi="Times New Roman" w:eastAsia="仿宋_GB2312" w:cs="Times New Roman"/>
          <w:spacing w:val="-6"/>
          <w:sz w:val="32"/>
          <w:szCs w:val="20"/>
          <w:lang w:val="en-US" w:eastAsia="zh-CN"/>
        </w:rPr>
      </w:pPr>
      <w:r>
        <w:rPr>
          <w:rFonts w:hint="eastAsia" w:ascii="仿宋_GB2312" w:hAnsi="Times New Roman" w:eastAsia="仿宋_GB2312" w:cs="Times New Roman"/>
          <w:spacing w:val="-6"/>
          <w:sz w:val="32"/>
          <w:szCs w:val="20"/>
          <w:lang w:val="en-US" w:eastAsia="zh-CN"/>
        </w:rPr>
        <w:t>四是影响重大工程建设的；</w:t>
      </w:r>
    </w:p>
    <w:p>
      <w:pPr>
        <w:spacing w:line="540" w:lineRule="exact"/>
        <w:ind w:firstLine="616" w:firstLineChars="200"/>
        <w:rPr>
          <w:rFonts w:hint="eastAsia" w:ascii="仿宋_GB2312" w:hAnsi="Times New Roman" w:eastAsia="仿宋_GB2312" w:cs="Times New Roman"/>
          <w:spacing w:val="-6"/>
          <w:sz w:val="32"/>
          <w:szCs w:val="20"/>
          <w:lang w:val="en-US" w:eastAsia="zh-CN"/>
        </w:rPr>
      </w:pPr>
      <w:r>
        <w:rPr>
          <w:rFonts w:hint="eastAsia" w:ascii="仿宋_GB2312" w:hAnsi="Times New Roman" w:eastAsia="仿宋_GB2312" w:cs="Times New Roman"/>
          <w:spacing w:val="-6"/>
          <w:sz w:val="32"/>
          <w:szCs w:val="20"/>
          <w:lang w:val="en-US" w:eastAsia="zh-CN"/>
        </w:rPr>
        <w:t>五是住宅小区内妨碍相邻关系的；</w:t>
      </w:r>
    </w:p>
    <w:p>
      <w:pPr>
        <w:spacing w:line="540" w:lineRule="exact"/>
        <w:ind w:firstLine="616" w:firstLineChars="200"/>
        <w:rPr>
          <w:rFonts w:hint="eastAsia" w:ascii="仿宋_GB2312" w:hAnsi="Times New Roman" w:eastAsia="仿宋_GB2312" w:cs="Times New Roman"/>
          <w:spacing w:val="-6"/>
          <w:sz w:val="32"/>
          <w:szCs w:val="20"/>
          <w:lang w:val="en-US" w:eastAsia="zh-CN"/>
        </w:rPr>
      </w:pPr>
      <w:r>
        <w:rPr>
          <w:rFonts w:hint="eastAsia" w:ascii="仿宋_GB2312" w:hAnsi="Times New Roman" w:eastAsia="仿宋_GB2312" w:cs="Times New Roman"/>
          <w:spacing w:val="-6"/>
          <w:sz w:val="32"/>
          <w:szCs w:val="20"/>
          <w:lang w:val="en-US" w:eastAsia="zh-CN"/>
        </w:rPr>
        <w:t>六是人民群众反映强烈、各级政府督办的、被媒体曝光的违法建筑。</w:t>
      </w:r>
    </w:p>
    <w:p>
      <w:pPr>
        <w:spacing w:line="540" w:lineRule="exact"/>
        <w:ind w:firstLine="619" w:firstLineChars="200"/>
        <w:rPr>
          <w:rFonts w:hint="eastAsia" w:ascii="仿宋_GB2312" w:hAnsi="Times New Roman" w:eastAsia="仿宋_GB2312" w:cs="Times New Roman"/>
          <w:spacing w:val="-6"/>
          <w:sz w:val="32"/>
          <w:szCs w:val="20"/>
        </w:rPr>
      </w:pPr>
      <w:r>
        <w:rPr>
          <w:rFonts w:hint="eastAsia" w:ascii="仿宋_GB2312" w:hAnsi="Times New Roman" w:eastAsia="仿宋_GB2312" w:cs="Times New Roman"/>
          <w:b/>
          <w:bCs/>
          <w:spacing w:val="-6"/>
          <w:sz w:val="32"/>
          <w:szCs w:val="20"/>
        </w:rPr>
        <w:t>4、</w:t>
      </w:r>
      <w:r>
        <w:rPr>
          <w:rFonts w:hint="eastAsia" w:ascii="仿宋_GB2312" w:hAnsi="Times New Roman" w:eastAsia="仿宋_GB2312" w:cs="Times New Roman"/>
          <w:b/>
          <w:bCs/>
          <w:spacing w:val="-6"/>
          <w:sz w:val="32"/>
          <w:szCs w:val="20"/>
          <w:lang w:val="en-US" w:eastAsia="zh-CN"/>
        </w:rPr>
        <w:t>坚持住宅小区内及</w:t>
      </w:r>
      <w:r>
        <w:rPr>
          <w:rFonts w:hint="eastAsia" w:ascii="仿宋_GB2312" w:hAnsi="Times New Roman" w:eastAsia="仿宋_GB2312" w:cs="Times New Roman"/>
          <w:b/>
          <w:bCs/>
          <w:spacing w:val="-6"/>
          <w:sz w:val="32"/>
          <w:szCs w:val="20"/>
          <w:lang w:eastAsia="zh-CN"/>
        </w:rPr>
        <w:t>沿街</w:t>
      </w:r>
      <w:r>
        <w:rPr>
          <w:rFonts w:hint="eastAsia" w:ascii="仿宋_GB2312" w:hAnsi="Times New Roman" w:eastAsia="仿宋_GB2312" w:cs="Times New Roman"/>
          <w:b/>
          <w:bCs/>
          <w:spacing w:val="-6"/>
          <w:sz w:val="32"/>
          <w:szCs w:val="20"/>
        </w:rPr>
        <w:t>“居改非”</w:t>
      </w:r>
      <w:r>
        <w:rPr>
          <w:rFonts w:hint="eastAsia" w:ascii="仿宋_GB2312" w:hAnsi="Times New Roman" w:eastAsia="仿宋_GB2312" w:cs="Times New Roman"/>
          <w:b/>
          <w:bCs/>
          <w:spacing w:val="-6"/>
          <w:sz w:val="32"/>
          <w:szCs w:val="20"/>
          <w:lang w:val="en-US" w:eastAsia="zh-CN"/>
        </w:rPr>
        <w:t>同步整治：</w:t>
      </w:r>
      <w:r>
        <w:rPr>
          <w:rFonts w:hint="eastAsia" w:ascii="仿宋_GB2312" w:hAnsi="Times New Roman" w:eastAsia="仿宋_GB2312" w:cs="Times New Roman"/>
          <w:spacing w:val="-6"/>
          <w:sz w:val="32"/>
          <w:szCs w:val="20"/>
        </w:rPr>
        <w:t>在小区拆违的同时，对小区内及其周边的破墙开店，非法经营，占绿毁绿等“居改非”进行同步整治</w:t>
      </w:r>
      <w:r>
        <w:rPr>
          <w:rFonts w:hint="eastAsia" w:ascii="仿宋_GB2312" w:hAnsi="Times New Roman" w:eastAsia="仿宋_GB2312" w:cs="Times New Roman"/>
          <w:spacing w:val="-6"/>
          <w:sz w:val="32"/>
          <w:szCs w:val="20"/>
          <w:lang w:eastAsia="zh-CN"/>
        </w:rPr>
        <w:t>，</w:t>
      </w:r>
      <w:r>
        <w:rPr>
          <w:rFonts w:hint="eastAsia" w:ascii="仿宋_GB2312" w:hAnsi="Times New Roman" w:eastAsia="仿宋_GB2312" w:cs="Times New Roman"/>
          <w:spacing w:val="-6"/>
          <w:sz w:val="32"/>
          <w:szCs w:val="20"/>
          <w:lang w:val="en-US" w:eastAsia="zh-CN"/>
        </w:rPr>
        <w:t>形成联动效益。</w:t>
      </w:r>
    </w:p>
    <w:p>
      <w:pPr>
        <w:spacing w:line="540" w:lineRule="exact"/>
        <w:ind w:firstLine="619" w:firstLineChars="200"/>
        <w:rPr>
          <w:rFonts w:hint="eastAsia" w:ascii="仿宋_GB2312" w:hAnsi="Times New Roman" w:eastAsia="仿宋_GB2312" w:cs="Times New Roman"/>
          <w:b/>
          <w:bCs/>
          <w:spacing w:val="-6"/>
          <w:sz w:val="32"/>
          <w:szCs w:val="20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pacing w:val="-6"/>
          <w:sz w:val="32"/>
          <w:szCs w:val="20"/>
        </w:rPr>
        <w:t>5、</w:t>
      </w:r>
      <w:r>
        <w:rPr>
          <w:rFonts w:hint="eastAsia" w:ascii="仿宋_GB2312" w:hAnsi="Times New Roman" w:eastAsia="仿宋_GB2312" w:cs="Times New Roman"/>
          <w:b/>
          <w:bCs/>
          <w:spacing w:val="-6"/>
          <w:sz w:val="32"/>
          <w:szCs w:val="20"/>
          <w:lang w:val="en-US" w:eastAsia="zh-CN"/>
        </w:rPr>
        <w:t>坚持整治标准相对统一：</w:t>
      </w:r>
    </w:p>
    <w:p>
      <w:pPr>
        <w:spacing w:line="540" w:lineRule="exact"/>
        <w:ind w:firstLine="616" w:firstLineChars="200"/>
        <w:rPr>
          <w:rFonts w:hint="eastAsia" w:ascii="仿宋_GB2312" w:hAnsi="Times New Roman" w:eastAsia="仿宋_GB2312" w:cs="Times New Roman"/>
          <w:spacing w:val="-6"/>
          <w:sz w:val="32"/>
          <w:szCs w:val="20"/>
        </w:rPr>
      </w:pPr>
      <w:r>
        <w:rPr>
          <w:rFonts w:hint="eastAsia" w:ascii="仿宋_GB2312" w:hAnsi="Times New Roman" w:eastAsia="仿宋_GB2312" w:cs="Times New Roman"/>
          <w:spacing w:val="-6"/>
          <w:sz w:val="32"/>
          <w:szCs w:val="20"/>
          <w:lang w:val="en-US" w:eastAsia="zh-CN"/>
        </w:rPr>
        <w:t>一是</w:t>
      </w:r>
      <w:r>
        <w:rPr>
          <w:rFonts w:hint="eastAsia" w:ascii="仿宋_GB2312" w:hAnsi="Times New Roman" w:eastAsia="仿宋_GB2312" w:cs="Times New Roman"/>
          <w:spacing w:val="-6"/>
          <w:sz w:val="32"/>
          <w:szCs w:val="20"/>
        </w:rPr>
        <w:t>对小区内用于公共服务的车棚、门卫、居委会及居民活动室等违建，向区拆违办报备后暂缓拆除；</w:t>
      </w:r>
    </w:p>
    <w:p>
      <w:pPr>
        <w:spacing w:line="540" w:lineRule="exact"/>
        <w:ind w:firstLine="616" w:firstLineChars="200"/>
        <w:rPr>
          <w:rFonts w:hint="eastAsia" w:ascii="仿宋_GB2312" w:hAnsi="Times New Roman" w:eastAsia="仿宋_GB2312" w:cs="Times New Roman"/>
          <w:spacing w:val="-6"/>
          <w:sz w:val="32"/>
          <w:szCs w:val="20"/>
        </w:rPr>
      </w:pPr>
      <w:r>
        <w:rPr>
          <w:rFonts w:hint="eastAsia" w:ascii="仿宋_GB2312" w:hAnsi="Times New Roman" w:eastAsia="仿宋_GB2312" w:cs="Times New Roman"/>
          <w:spacing w:val="-6"/>
          <w:sz w:val="32"/>
          <w:szCs w:val="20"/>
          <w:lang w:val="en-US" w:eastAsia="zh-CN"/>
        </w:rPr>
        <w:t>二是</w:t>
      </w:r>
      <w:r>
        <w:rPr>
          <w:rFonts w:hint="eastAsia" w:ascii="仿宋_GB2312" w:hAnsi="Times New Roman" w:eastAsia="仿宋_GB2312" w:cs="Times New Roman"/>
          <w:spacing w:val="-6"/>
          <w:sz w:val="32"/>
          <w:szCs w:val="20"/>
        </w:rPr>
        <w:t>对“不出租经营、不影响环境、不影响邻里、不存在安全隐患”的天井违建、楼顶违建暂缓拆除；</w:t>
      </w:r>
    </w:p>
    <w:p>
      <w:pPr>
        <w:spacing w:line="540" w:lineRule="exact"/>
        <w:ind w:firstLine="616" w:firstLineChars="200"/>
        <w:rPr>
          <w:rFonts w:hint="eastAsia" w:ascii="仿宋_GB2312" w:hAnsi="Times New Roman" w:eastAsia="仿宋_GB2312" w:cs="Times New Roman"/>
          <w:spacing w:val="-6"/>
          <w:sz w:val="32"/>
          <w:szCs w:val="20"/>
        </w:rPr>
      </w:pPr>
      <w:r>
        <w:rPr>
          <w:rFonts w:hint="eastAsia" w:ascii="仿宋_GB2312" w:hAnsi="Times New Roman" w:eastAsia="仿宋_GB2312" w:cs="Times New Roman"/>
          <w:spacing w:val="-6"/>
          <w:sz w:val="32"/>
          <w:szCs w:val="20"/>
          <w:lang w:val="en-US" w:eastAsia="zh-CN"/>
        </w:rPr>
        <w:t>三是</w:t>
      </w:r>
      <w:r>
        <w:rPr>
          <w:rFonts w:hint="eastAsia" w:ascii="仿宋_GB2312" w:hAnsi="Times New Roman" w:eastAsia="仿宋_GB2312" w:cs="Times New Roman"/>
          <w:spacing w:val="-6"/>
          <w:sz w:val="32"/>
          <w:szCs w:val="20"/>
        </w:rPr>
        <w:t>对区属企业的商业网点等违建，报区相关部门处置；</w:t>
      </w:r>
    </w:p>
    <w:p>
      <w:pPr>
        <w:spacing w:line="540" w:lineRule="exact"/>
        <w:ind w:firstLine="616" w:firstLineChars="200"/>
        <w:rPr>
          <w:rFonts w:hint="eastAsia" w:ascii="仿宋_GB2312" w:hAnsi="Times New Roman" w:eastAsia="仿宋_GB2312" w:cs="Times New Roman"/>
          <w:spacing w:val="-6"/>
          <w:sz w:val="32"/>
          <w:szCs w:val="20"/>
        </w:rPr>
      </w:pPr>
      <w:r>
        <w:rPr>
          <w:rFonts w:hint="eastAsia" w:ascii="仿宋_GB2312" w:hAnsi="Times New Roman" w:eastAsia="仿宋_GB2312" w:cs="Times New Roman"/>
          <w:spacing w:val="-6"/>
          <w:sz w:val="32"/>
          <w:szCs w:val="20"/>
          <w:lang w:val="en-US" w:eastAsia="zh-CN"/>
        </w:rPr>
        <w:t>四是</w:t>
      </w:r>
      <w:r>
        <w:rPr>
          <w:rFonts w:hint="eastAsia" w:ascii="仿宋_GB2312" w:hAnsi="Times New Roman" w:eastAsia="仿宋_GB2312" w:cs="Times New Roman"/>
          <w:spacing w:val="-6"/>
          <w:sz w:val="32"/>
          <w:szCs w:val="20"/>
        </w:rPr>
        <w:t>小区拆违与周边沿街“居改非”商铺同步整治；</w:t>
      </w:r>
    </w:p>
    <w:p>
      <w:pPr>
        <w:spacing w:line="540" w:lineRule="exact"/>
        <w:ind w:firstLine="616" w:firstLineChars="200"/>
        <w:rPr>
          <w:rFonts w:hint="eastAsia" w:ascii="仿宋_GB2312" w:hAnsi="Times New Roman" w:eastAsia="仿宋_GB2312" w:cs="Times New Roman"/>
          <w:spacing w:val="-6"/>
          <w:sz w:val="32"/>
          <w:szCs w:val="20"/>
        </w:rPr>
      </w:pPr>
      <w:r>
        <w:rPr>
          <w:rFonts w:hint="eastAsia" w:ascii="仿宋_GB2312" w:hAnsi="Times New Roman" w:eastAsia="仿宋_GB2312" w:cs="Times New Roman"/>
          <w:spacing w:val="-6"/>
          <w:sz w:val="32"/>
          <w:szCs w:val="20"/>
          <w:lang w:val="en-US" w:eastAsia="zh-CN"/>
        </w:rPr>
        <w:t>六是</w:t>
      </w:r>
      <w:r>
        <w:rPr>
          <w:rFonts w:hint="eastAsia" w:ascii="仿宋_GB2312" w:hAnsi="Times New Roman" w:eastAsia="仿宋_GB2312" w:cs="Times New Roman"/>
          <w:spacing w:val="-6"/>
          <w:sz w:val="32"/>
          <w:szCs w:val="20"/>
        </w:rPr>
        <w:t>天井围墙复建高度、式样、涂料颜色应根据小区实际，相对统一，空调、落水管等设备安装要统一、美观。</w:t>
      </w:r>
    </w:p>
    <w:p>
      <w:pPr>
        <w:spacing w:line="540" w:lineRule="exact"/>
        <w:ind w:firstLine="616" w:firstLineChars="200"/>
        <w:rPr>
          <w:rFonts w:hint="eastAsia" w:ascii="仿宋_GB2312" w:hAnsi="Times New Roman" w:eastAsia="仿宋_GB2312" w:cs="Times New Roman"/>
          <w:spacing w:val="-6"/>
          <w:sz w:val="32"/>
          <w:szCs w:val="2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 w:eastAsia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4198"/>
    <w:multiLevelType w:val="multilevel"/>
    <w:tmpl w:val="0CFC4198"/>
    <w:lvl w:ilvl="0" w:tentative="0">
      <w:start w:val="1"/>
      <w:numFmt w:val="japaneseCounting"/>
      <w:pStyle w:val="6"/>
      <w:lvlText w:val="%1、"/>
      <w:lvlJc w:val="left"/>
      <w:pPr>
        <w:ind w:left="1287" w:hanging="720"/>
      </w:pPr>
      <w:rPr>
        <w:rFonts w:ascii="仿宋" w:hAnsi="仿宋" w:eastAsia="仿宋" w:cs="Times New Roman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09"/>
    <w:rsid w:val="005E136B"/>
    <w:rsid w:val="00A35109"/>
    <w:rsid w:val="00AD433D"/>
    <w:rsid w:val="00B12362"/>
    <w:rsid w:val="0C357420"/>
    <w:rsid w:val="146467B2"/>
    <w:rsid w:val="45834F86"/>
    <w:rsid w:val="53FD0924"/>
    <w:rsid w:val="662B5ADF"/>
    <w:rsid w:val="70C93799"/>
    <w:rsid w:val="7D0D65B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列出段落21"/>
    <w:basedOn w:val="1"/>
    <w:qFormat/>
    <w:uiPriority w:val="34"/>
    <w:pPr>
      <w:numPr>
        <w:ilvl w:val="0"/>
        <w:numId w:val="1"/>
      </w:numPr>
      <w:jc w:val="left"/>
    </w:pPr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402</Characters>
  <Lines>3</Lines>
  <Paragraphs>1</Paragraphs>
  <ScaleCrop>false</ScaleCrop>
  <LinksUpToDate>false</LinksUpToDate>
  <CharactersWithSpaces>471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taoying</dc:creator>
  <cp:lastModifiedBy>普陀区人民政府专用版</cp:lastModifiedBy>
  <cp:lastPrinted>2017-12-14T01:43:40Z</cp:lastPrinted>
  <dcterms:modified xsi:type="dcterms:W3CDTF">2017-12-14T01:51:28Z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